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565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051"/>
        <w:gridCol w:w="1982"/>
        <w:gridCol w:w="912"/>
        <w:gridCol w:w="1080"/>
        <w:gridCol w:w="874"/>
        <w:gridCol w:w="1748"/>
        <w:gridCol w:w="1630"/>
        <w:gridCol w:w="2414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5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八卦岭鹏基单身宿舍16栋207房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两个月租金额度、垃圾清理费押金500元、水电押金300元</w:t>
            </w:r>
          </w:p>
        </w:tc>
        <w:tc>
          <w:tcPr>
            <w:tcW w:w="163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5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3.出租方将对意向承租方承租资格进行审核；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八卦岭鹏基单身宿舍44栋506房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无产权，租赁用途为“单身宿舍”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两个月租金额度、垃圾清理费押金500元、物业管理费押金200元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中兴路黎明大院8栋203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中兴路黎明大院8栋315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中兴路黎明大院8栋610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中兴路黎明大院9栋219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中兴路黎明大院9栋309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中兴路黎明大院9栋402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中兴路黎明大院家用电器大楼510-1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中兴路黎明大院家用电器大楼6C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中兴路黎明大院机床数控大楼111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中兴路黎明大院机床数控大楼303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中兴路黎明大院机床数控大楼611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中兴路黎明大院机床数控大楼623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47/㎡/月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发展中心大厦C-01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产权性质为“商业”，租赁用途为“商业”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42804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76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57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57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7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2021-05-18T02:58:27Z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7E5BA73240F14715A88FA87929B08F9A</vt:lpwstr>
  </property>
</Properties>
</file>