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755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854"/>
        <w:gridCol w:w="1995"/>
        <w:gridCol w:w="912"/>
        <w:gridCol w:w="1161"/>
        <w:gridCol w:w="874"/>
        <w:gridCol w:w="1356"/>
        <w:gridCol w:w="1199"/>
        <w:gridCol w:w="253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7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            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罗湖区中兴路黎明大院8栋504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无产权，租赁用途为“宿舍”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2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1.承租方应全面了解物业现状（包括但不限于物业产权信息、物业本体情况、装修情况、物业周边环境、基础硬件设施等）；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3.出租方将对意向承租方承租资格进行审核。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罗湖区中兴路黎明大院9栋322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八卦岭鹏基单身宿舍16栋110房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1850元/月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两个月租金额度、水电押金300元、垃圾处理费押金500元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罗湖区竹园居102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76.61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罗湖区大鹏阁1栋104B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产权性质为“商业”，租赁用途为“商业”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96.51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350.22元/㎡/月，第三年递增5%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3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罗湖区发展中心大厦B13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罗湖区发展中心大厦8-03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罗湖区发展中心大厦8-08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263.15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罗湖区发展中心大厦902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罗湖区发展中心大厦15-07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261.08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罗湖区发展中心大厦2201-B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77.52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罗湖区发展中心大厦2201-C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发展中心大厦22-07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产权性质为“商业”，租赁用途为“办公”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80元/㎡/月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766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76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76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9E2CBB"/>
    <w:rsid w:val="7DB8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2021-06-17T01:28:37Z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15CC50EC6CC248D7AD2D749F4C016CB4</vt:lpwstr>
  </property>
</Properties>
</file>