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755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3051"/>
        <w:gridCol w:w="1995"/>
        <w:gridCol w:w="912"/>
        <w:gridCol w:w="1080"/>
        <w:gridCol w:w="874"/>
        <w:gridCol w:w="1356"/>
        <w:gridCol w:w="1199"/>
        <w:gridCol w:w="2414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7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中兴路黎明大院9栋404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产权性质为“办公”，租赁用途为“宿舍”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招租条件：承租方需严格按照双方签订的租赁合同履约，并配合出租方做好消防安全管理工作。</w:t>
            </w:r>
          </w:p>
        </w:tc>
        <w:tc>
          <w:tcPr>
            <w:tcW w:w="2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3.出租方将对意向承租方承租资格进行审核。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中兴路黎明大院机床数控大楼319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中兴路黎明大院机床数控大楼311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7000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中兴路黎明大院机床数控大楼410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中兴路黎明大院机床数控大楼629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1880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中兴路黎明大院家用电器大楼507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中兴路黎明大院家用电器大楼510-6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产权性质为“厂房”，租赁用途为“仓储”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16.67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八卦岭鹏基单身宿舍16栋515房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产权性质为“单身宿舍”，租赁用途为“单身宿舍”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两个月租金额度、水电押金300元、垃圾处理费押金500元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国际商业大厦北座902房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6200</w:t>
            </w:r>
          </w:p>
        </w:tc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766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76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3766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53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2021-07-21T02:33:48Z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5782279A96874C5EBCFD387A60CBADAA</vt:lpwstr>
  </property>
</Properties>
</file>