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3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130"/>
        <w:gridCol w:w="2025"/>
        <w:gridCol w:w="1125"/>
        <w:gridCol w:w="1305"/>
        <w:gridCol w:w="1155"/>
        <w:gridCol w:w="1575"/>
        <w:gridCol w:w="1320"/>
        <w:gridCol w:w="3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出租方：深圳市特发黎明光电（集团）有限公司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福田区深南中路统建大楼3栋5楼501房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3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1、承租方在竞价前应全面了解物业现状（包括但不限于物业产权信息、物业本体情况、装修情况、物业周边环境、基础硬件设施等）；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2、租赁期内不得分租转租；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3、出租方将对意向承租方承租资格进行审核。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福田区深南中路统建大楼3栋5楼510房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福田区燕南路407栋5-A12房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福田区燕南路407栋5-A15房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福田区红岭中路2号-2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无房产证，租赁用途为“商业”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18128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福田区八卦岭16栋205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罗湖区黎明大院8栋201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罗湖区黎明大院8栋402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罗湖区黎明大院家用电器大楼502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罗湖区黎明大院家用电器大楼503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罗湖区黎明大院家用电器大楼505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罗湖区黎明大院机床数控大楼204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3840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罗湖区黎明大院机床数控大楼312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5593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罗湖区黎明大院机床数控大楼402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5170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罗湖区黎明大院机床数控大楼412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1974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罗湖区黎明大院机床数控大楼521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罗湖区海外联谊大厦1106-07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14174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罗湖区海外联谊大厦2301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10086.88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罗湖区翠竹竹园居101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67.09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罗湖区翠竹竹园居403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67.09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罗湖区东乐花园111B-7B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81.89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罗湖区新园路蛟湖10栋805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57.44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罗湖区东门大鹏阁104B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产权性质为“商业”，租赁用途为“商业”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96.51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29000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25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1、请意向承租人于公告截止日前至出租方报名，并按要求提交下列材料：①公司承租需营业执照复印件及法人身份证复印件，个人承租需个人身份证复印件②提供居住人员身份证复印件。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2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432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D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2022-01-17T06:09:48Z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6EA80AAA87EB4E97A79BF724833CB63A</vt:lpwstr>
  </property>
</Properties>
</file>